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2"/>
        <w:spacing w:before="136" w:after="0"/>
        <w:ind w:hanging="0"/>
        <w:jc w:val="both"/>
      </w:pPr>
      <w:r>
        <w:rPr>
          <w:rFonts w:ascii="Times New Roman" w:hAnsi="Times New Roman"/>
          <w:sz w:val="28"/>
          <w:szCs w:val="28"/>
        </w:rPr>
        <w:t>EXCELENTÍSSIMO SENHOR DOUTOR JUIZ DE DIREITO DA (…)</w:t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(...), por seus advogados (documento 01), vem, respeitosamente, à presença de Vossa Excelência, aforar, em face de (...), a competente: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AÇÃO DE EXECUÇÃO POR QUANTIA CERTA CONTRA DEVEDOR SOLVENTE</w:t>
      </w:r>
      <w:r/>
    </w:p>
    <w:p>
      <w:pPr>
        <w:pStyle w:val="Corpodotexto"/>
        <w:ind w:hanging="0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o que faz com supedâneo nos artigos 783, 784, II, 786, e 824 e seguintes do Código de Processo Civil, expondo e requerendo o quanto segue: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A exequente é credora da importância de R$ (...) devida pelos executados, conforme o instrumento particular de compromisso de compra e venda assinado pelas partes e duas testemunhas em (...) (documento 2).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O imóvel foi entregue, cumpridas, portanto, as obrigações do exequente conforme termo de entrega anexo (documento 3), o que autoriza a execução nos termos dos arts. 802 e 798, I, “d” do Código de ProcessoCivil.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Relevantes, assim, as razões lançadas na Apelação 1.231.769-2, no voto proferido pela 21ª Câmara de Direito Privado-A do Tribunal de Justiça de São Paulo (rel. Alexandre Marcondes, j. em 15.02.2007):</w:t>
      </w:r>
      <w:r/>
    </w:p>
    <w:p>
      <w:pPr>
        <w:pStyle w:val="Normal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jc w:val="both"/>
        <w:rPr>
          <w:sz w:val="28"/>
          <w:i/>
          <w:sz w:val="28"/>
          <w:i/>
          <w:szCs w:val="28"/>
          <w:iCs/>
          <w:rFonts w:ascii="Times New Roman" w:hAnsi="Times New Roman"/>
        </w:rPr>
      </w:pP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>Embora o contrato contenha obrigações deambas as partes,  seu caráter sinalagmático não subtrai sua força executiva, pois  conforme já  se decidiu, o contrato bilateral pode servir detítulo executivo deobrigação de pagar quantia certa, desde que definida a liquidez e certeza da prestação do devedor, comprovando  o credor  o cumprimento integral de sua obrigação” (RSTJ 85/278).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A este respeito ensina Humberto Theodoro Júnior que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jc w:val="both"/>
        <w:rPr>
          <w:sz w:val="24"/>
          <w:i/>
          <w:sz w:val="24"/>
          <w:i/>
          <w:szCs w:val="24"/>
          <w:rFonts w:ascii="Arial" w:hAnsi="Arial" w:cs="Arial"/>
        </w:rPr>
      </w:pP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>o contrato por ser bilateral não perde o atributo da exequibilidade por parte do contratante que já cumpriu a prestação a seu cargo.  A certeza  da obrigação insatisfeita pelo outro contratante é atingida pela prova pré- constituída da contraprestação realizada pelo exequente” (A Reforma da Execução do Título Extrajudicial. Rio de Janeiro: Forense, 2007, p.    22).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No mesmo sentido: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jc w:val="both"/>
        <w:rPr>
          <w:sz w:val="24"/>
          <w:i/>
          <w:sz w:val="24"/>
          <w:i/>
          <w:szCs w:val="24"/>
          <w:rFonts w:ascii="Arial" w:hAnsi="Arial" w:cs="Arial"/>
        </w:rPr>
      </w:pPr>
      <w:r>
        <w:rPr>
          <w:rFonts w:ascii="Times New Roman" w:hAnsi="Times New Roman"/>
          <w:i/>
          <w:iCs/>
          <w:sz w:val="28"/>
          <w:szCs w:val="28"/>
        </w:rPr>
        <w:t>Tribunal de Justiça de São Paulo. “Embargos à execução de título extrajudicial. Compromisso de compra e venda de imóvel. Presentes a certeza, a liquidez e a exigibilidade do débito. Não  configurada  nulidade  do título executivo. Excesso de execução superado,  pois  houve  mero erro nocálculo apresentado,devidamente corrigido pela exequente. Rejeição dos embargos mantida. Recurso não provido”(Apelação 0047122-44.2011.8.26.0577, 10ª Câmara de Direito Privado, rel. Roberto Maia, j. em 06.11.2012).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Trata-se, portanto, de título extrajudicial de obrigação (CPC, art. 784, II), certa, líquida e exigível (CPC, art. 783).</w:t>
      </w:r>
      <w:r/>
    </w:p>
    <w:p>
      <w:pPr>
        <w:pStyle w:val="Corpodotexto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  <w:tab/>
        <w:tab/>
        <w:t>A presente execução decorre da ausência de pagamentos, pelos executados, de (...) parcelas mensais, conforme (...) do instrumento particular de promessa de compra e venda do imóvel assim caracterizado (...), objeto da presente execução, cujo demonstrativo  do débito, de acordo com o art. 798, I, “b”, é o que segue (ou, se a planilha for anexada: segue anexo à presente execução – documento 3):</w:t>
      </w:r>
      <w:r/>
    </w:p>
    <w:p>
      <w:pPr>
        <w:pStyle w:val="Corpodotexto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(...)</w:t>
      </w:r>
      <w:r/>
    </w:p>
    <w:p>
      <w:pPr>
        <w:pStyle w:val="Corpodotexto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  <w:tab/>
        <w:tab/>
        <w:t>Baldos os esforços da credora, que, sem sucesso, tentou amigavelmente receber o valor que lhe é devido, nega-se o devedor a saldar o débito, obrigando-a a socorrer-se do Poder Judiciário, o que faz por intermédio da presente ação de execução.</w:t>
      </w:r>
      <w:r/>
    </w:p>
    <w:p>
      <w:pPr>
        <w:pStyle w:val="Ttulo2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CITAÇÃO E PEDIDO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Não restando outro meio de receber, é a presente para requerer digne-se Vossa Excelência de:</w:t>
      </w:r>
      <w:r/>
    </w:p>
    <w:p>
      <w:pPr>
        <w:pStyle w:val="ListParagraph"/>
        <w:numPr>
          <w:ilvl w:val="0"/>
          <w:numId w:val="1"/>
        </w:numPr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Determinar sejam citados os executados, pelo correio, nostermos dos  arts.  246,  I;   247  e  248  do  Código  de  Processo  Civil,    (ou, subsidiariamente, justificando: por intermédio do Sr. Oficial de Justiça, com os permissivos do artigo 212, § 2°, do Código de Processo Civil,) para pagar, em 3 (três) dias, o valor de R$ (...), acrescido de juros legais, correção monetária, custas e honorários advocatícios de 5% nos termos do art. 827 do Código de Processo Civil.</w:t>
      </w:r>
      <w:r/>
    </w:p>
    <w:p>
      <w:pPr>
        <w:pStyle w:val="Corpodotexto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Caso não haja pagamento no prazo legal de 3 (três) dias, requer-se, desde já, o acréscimo aos honorários, que deverão ser de 10% do valor executado (CPC, art. 827) com a penhora de dinheiro (CPC, art. 835, I e § 1º) pelo sistema do Banco Central.</w:t>
      </w:r>
      <w:r/>
    </w:p>
    <w:p>
      <w:pPr>
        <w:pStyle w:val="Corpodotexto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Caso se frustre a penhora de dinheiro, requer-se a expedição de mandado de penhora de tantos bens quantos bastem para garantir a execução, a ser cumprido por intermédio do Sr. Oficial de Justiça (ou:  a penhora do imóvel consistente em (...) (documento 4 – matrícula), mediante termo nos autos, de acordo com o art. 837 e art. 845, § 1º, doCPC.</w:t>
      </w:r>
      <w:r/>
    </w:p>
    <w:p>
      <w:pPr>
        <w:pStyle w:val="Normal"/>
        <w:jc w:val="both"/>
      </w:pPr>
      <w:r>
        <w:rPr>
          <w:rFonts w:ascii="Times New Roman" w:hAnsi="Times New Roman"/>
          <w:sz w:val="28"/>
          <w:szCs w:val="28"/>
        </w:rPr>
        <w:tab/>
        <w:tab/>
        <w:tab/>
        <w:tab/>
        <w:t xml:space="preserve">Caso o executado não seja encontrado para citação, ex vi legis (CPC, art. 830), requer o arresto do imóvel indicado e cuja matrícula segue anexa(documento 4), cumpridas as formalidades legais, seguindo o processo nos termos da Lei com a citação do executado por edital findo o qual haverá automática conversão do arresto em penhora (CPC, art. 830, § 3º). (Apenas para o caso de serem conhecidos bens penhoráveis do executado, sendo, em tese, possível a penhora sobre os direitos do próprio imóvel prometido à venda,  caso contrário a citação deve ser requerida, depois de esgotadas as tentativas, mesmo sem arresto, por edital (§ 2º. do art. 830 do CPC): </w:t>
      </w:r>
      <w:r>
        <w:rPr>
          <w:rFonts w:ascii="Times New Roman" w:hAnsi="Times New Roman"/>
          <w:i/>
          <w:iCs/>
          <w:sz w:val="28"/>
          <w:szCs w:val="28"/>
        </w:rPr>
        <w:t>“Ação de execução de título extrajudicial. Citação realizada  por  edital. Validade. Citação ficta ocorrida após diligências visando à obtenção de novo endereço do executado. Aplicação do disposto no artigo 231, II, CPC [atual art. 256, II]. Prescrição. Inocorrência. Interrupção do prazo prescricional. Inteligência do artigo 219, CPC [atual art. 240]. Agravo improvido” (TJSP – 0221360- 90.2012.8.26.0000 – Relator(a): Soares Levada – Comarca: Sorocaba – Órgão julgador: 34ª Câmara de Direito Privado – Data do julgamento: 05.11.2012– Data de registro: 08.11.2012– Outros números:2213609020128260000).</w:t>
      </w:r>
      <w:r/>
    </w:p>
    <w:p>
      <w:pPr>
        <w:pStyle w:val="Corpodotexto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  <w:tab/>
        <w:tab/>
        <w:t>Ou, para o caso de não serem conhecidos bens penhoráveis do executado:</w:t>
      </w:r>
      <w:r/>
    </w:p>
    <w:p>
      <w:pPr>
        <w:pStyle w:val="Corpodotexto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a.1) Requer-se, desde já, caso não haja pagamento em 3 (três) dias e o Sr. Oficial de Justiça não localize bens penhoráveis dos executados, que sejam eles intimados para, no prazo de 5 (cinco)  dias, indicar bens passíveis de penhora, sob pena de ato atentatório à dignidade da Justiça e multa de 20% do valor da execução nos termos dos arts. 774, V, e seu parágrafo único doCPC.</w:t>
      </w:r>
      <w:r/>
    </w:p>
    <w:p>
      <w:pPr>
        <w:pStyle w:val="ListParagraph"/>
        <w:numPr>
          <w:ilvl w:val="0"/>
          <w:numId w:val="1"/>
        </w:numPr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Requer-se a intimação da penhora por meio dos advogados do executado constituídos nos autos (CPC, art. 841) ou por via postal, caso não tenha advogadoconstituído.</w:t>
      </w:r>
      <w:r/>
    </w:p>
    <w:p>
      <w:pPr>
        <w:pStyle w:val="ListParagraph"/>
        <w:numPr>
          <w:ilvl w:val="0"/>
          <w:numId w:val="1"/>
        </w:numPr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Por fim, tendo em vista o teor dos arts. 837 e 845, § 1º, do Código de Processo Civil, requer a exequente que a penhora seja registrada por meio eletrônico ou, impossível a prática do ato por meio eletrônico pela serventia, a expedição de certidão de inteiro teor do ato, para registro na matrícula do imóvel a ser penhorado/arrestado,  de propriedade do executado (documento 4), nos termos dos artigos 167, I, 5 e 239 da Lei6.015/73.</w:t>
      </w:r>
      <w:r/>
    </w:p>
    <w:p>
      <w:pPr>
        <w:pStyle w:val="ListParagraph"/>
        <w:numPr>
          <w:ilvl w:val="0"/>
          <w:numId w:val="0"/>
        </w:numPr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ind w:hanging="0"/>
        <w:jc w:val="both"/>
      </w:pPr>
      <w:r>
        <w:rPr>
          <w:rFonts w:ascii="Times New Roman" w:hAnsi="Times New Roman"/>
          <w:sz w:val="28"/>
          <w:szCs w:val="28"/>
        </w:rPr>
        <w:t xml:space="preserve">DAS </w:t>
      </w:r>
      <w:r>
        <w:rPr>
          <w:rFonts w:ascii="Times New Roman" w:hAnsi="Times New Roman"/>
          <w:sz w:val="28"/>
          <w:szCs w:val="28"/>
        </w:rPr>
        <w:t>PROVAS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Pela natureza da ação (execução), protesta por provar o alegado unicamente por intermédio do título que instrui a exordial (documento 2).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ind w:hanging="0"/>
        <w:jc w:val="both"/>
      </w:pPr>
      <w:r>
        <w:rPr>
          <w:rFonts w:ascii="Times New Roman" w:hAnsi="Times New Roman"/>
          <w:sz w:val="28"/>
          <w:szCs w:val="28"/>
        </w:rPr>
        <w:t xml:space="preserve">DO </w:t>
      </w:r>
      <w:r>
        <w:rPr>
          <w:rFonts w:ascii="Times New Roman" w:hAnsi="Times New Roman"/>
          <w:sz w:val="28"/>
          <w:szCs w:val="28"/>
        </w:rPr>
        <w:t>VALOR DA CAUSA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 xml:space="preserve">Atribui-se à presente execução o valor de R$ (...). 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left="108" w:hanging="0"/>
        <w:jc w:val="center"/>
      </w:pPr>
      <w:r>
        <w:rPr>
          <w:rFonts w:ascii="Times New Roman" w:hAnsi="Times New Roman"/>
          <w:sz w:val="28"/>
          <w:szCs w:val="28"/>
        </w:rPr>
        <w:t>Respeitosamente,  pede deferimento.</w:t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sz w:val="28"/>
          <w:szCs w:val="28"/>
          <w:lang w:val="en-US"/>
        </w:rPr>
      </w:r>
      <w:r/>
    </w:p>
    <w:p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Cidade..., de ... de ...</w:t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sz w:val="28"/>
          <w:szCs w:val="28"/>
          <w:lang w:val="en-US"/>
        </w:rPr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sz w:val="28"/>
          <w:szCs w:val="28"/>
          <w:lang w:val="en-US"/>
        </w:rPr>
      </w:r>
      <w:r/>
    </w:p>
    <w:p>
      <w:pPr>
        <w:pStyle w:val="Corpodotexto"/>
        <w:ind w:left="108" w:hanging="0"/>
        <w:jc w:val="center"/>
      </w:pPr>
      <w:r>
        <w:rPr>
          <w:rFonts w:ascii="Times New Roman" w:hAnsi="Times New Roman"/>
          <w:sz w:val="28"/>
          <w:szCs w:val="28"/>
        </w:rPr>
        <w:t>Advogad</w:t>
      </w:r>
      <w:r>
        <w:rPr>
          <w:rFonts w:ascii="Times New Roman" w:hAnsi="Times New Roman"/>
          <w:sz w:val="28"/>
          <w:szCs w:val="28"/>
        </w:rPr>
        <w:t>o</w:t>
      </w:r>
      <w:r/>
    </w:p>
    <w:p>
      <w:pPr>
        <w:pStyle w:val="Corpodotexto"/>
        <w:ind w:hanging="0"/>
        <w:jc w:val="center"/>
      </w:pPr>
      <w:r>
        <w:rPr>
          <w:rFonts w:ascii="Times New Roman" w:hAnsi="Times New Roman"/>
          <w:sz w:val="28"/>
          <w:szCs w:val="28"/>
        </w:rPr>
        <w:t>OAB/UF</w:t>
      </w:r>
      <w:r/>
    </w:p>
    <w:p>
      <w:pPr>
        <w:pStyle w:val="Corpodotexto"/>
        <w:ind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Documento 1 – Procuração;</w:t>
      </w:r>
      <w:r/>
    </w:p>
    <w:p>
      <w:pPr>
        <w:pStyle w:val="Corpodotexto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Documento 2 – Título executivo;</w:t>
      </w:r>
      <w:r/>
    </w:p>
    <w:p>
      <w:pPr>
        <w:pStyle w:val="Corpodotexto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Documento 3 – Demonstrativo do débito;</w:t>
      </w:r>
      <w:r/>
    </w:p>
    <w:p>
      <w:pPr>
        <w:pStyle w:val="Corpodotexto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Documento 4 – Matrícula do imóvel para penhora/arresto.</w:t>
      </w:r>
      <w:r/>
    </w:p>
    <w:p>
      <w:pPr>
        <w:pStyle w:val="Normal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</w:r>
      <w:r/>
    </w:p>
    <w:sectPr>
      <w:footerReference w:type="default" r:id="rId2"/>
      <w:type w:val="nextPage"/>
      <w:pgSz w:w="11906" w:h="16838"/>
      <w:pgMar w:left="1985" w:right="1418" w:header="0" w:top="1417" w:footer="709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 w:before="0" w:after="0"/>
      <w:ind w:left="0" w:hanging="0"/>
      <w:rPr>
        <w:sz w:val="20"/>
        <w:sz w:val="20"/>
        <w:szCs w:val="27"/>
        <w:rFonts w:ascii="Arial" w:hAnsi="Arial" w:eastAsia="Arial" w:cs="Arial"/>
        <w:lang w:val="en-US"/>
      </w:rPr>
    </w:pPr>
    <w:r>
      <w:rPr>
        <w:sz w:val="20"/>
      </w:rPr>
    </w:r>
    <w:r/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108" w:hanging="316"/>
      </w:pPr>
      <w:rPr>
        <w:sz w:val="27"/>
        <w:spacing w:val="-1"/>
        <w:szCs w:val="27"/>
        <w:w w:val="100"/>
      </w:rPr>
    </w:lvl>
    <w:lvl w:ilvl="1">
      <w:start w:val="1"/>
      <w:numFmt w:val="bullet"/>
      <w:lvlText w:val=""/>
      <w:lvlJc w:val="left"/>
      <w:pPr>
        <w:ind w:left="956" w:hanging="31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813" w:hanging="31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669" w:hanging="31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526" w:hanging="31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382" w:hanging="31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239" w:hanging="31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095" w:hanging="31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952" w:hanging="316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1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uiPriority="1" w:name="Body Tex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1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85146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paragraph" w:styleId="Ttulo2">
    <w:name w:val="Título 2"/>
    <w:basedOn w:val="Normal"/>
    <w:link w:val="Ttulo2Char"/>
    <w:uiPriority w:val="1"/>
    <w:qFormat/>
    <w:rsid w:val="00b96bc2"/>
    <w:pPr>
      <w:widowControl w:val="false"/>
      <w:spacing w:lineRule="auto" w:line="240" w:before="136" w:after="0"/>
      <w:ind w:left="378" w:hanging="0"/>
      <w:outlineLvl w:val="1"/>
    </w:pPr>
    <w:rPr>
      <w:rFonts w:ascii="Arial" w:hAnsi="Arial" w:eastAsia="Arial" w:cs="Arial"/>
      <w:b/>
      <w:bCs/>
      <w:sz w:val="27"/>
      <w:szCs w:val="27"/>
      <w:lang w:val="en-US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tulo2Char" w:customStyle="1">
    <w:name w:val="Título 2 Char"/>
    <w:basedOn w:val="DefaultParagraphFont"/>
    <w:link w:val="Ttulo2"/>
    <w:uiPriority w:val="1"/>
    <w:rsid w:val="00b96bc2"/>
    <w:rPr>
      <w:rFonts w:ascii="Arial" w:hAnsi="Arial" w:eastAsia="Arial" w:cs="Arial"/>
      <w:b/>
      <w:bCs/>
      <w:sz w:val="27"/>
      <w:szCs w:val="27"/>
      <w:lang w:val="en-US"/>
    </w:rPr>
  </w:style>
  <w:style w:type="character" w:styleId="CorpodetextoChar" w:customStyle="1">
    <w:name w:val="Corpo de texto Char"/>
    <w:basedOn w:val="DefaultParagraphFont"/>
    <w:link w:val="Corpodetexto"/>
    <w:uiPriority w:val="1"/>
    <w:rsid w:val="00b96bc2"/>
    <w:rPr>
      <w:rFonts w:ascii="Arial" w:hAnsi="Arial" w:eastAsia="Arial" w:cs="Arial"/>
      <w:sz w:val="27"/>
      <w:szCs w:val="27"/>
      <w:lang w:val="en-US"/>
    </w:rPr>
  </w:style>
  <w:style w:type="character" w:styleId="ListLabel1">
    <w:name w:val="ListLabel 1"/>
    <w:rPr>
      <w:rFonts w:eastAsia="Arial" w:cs="Arial"/>
      <w:spacing w:val="-1"/>
      <w:w w:val="100"/>
      <w:sz w:val="27"/>
      <w:szCs w:val="27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link w:val="CorpodetextoChar"/>
    <w:uiPriority w:val="1"/>
    <w:qFormat/>
    <w:rsid w:val="00b96bc2"/>
    <w:pPr>
      <w:widowControl w:val="false"/>
      <w:spacing w:lineRule="auto" w:line="240" w:before="76" w:after="0"/>
      <w:ind w:left="108" w:hanging="0"/>
    </w:pPr>
    <w:rPr>
      <w:rFonts w:ascii="Arial" w:hAnsi="Arial" w:eastAsia="Arial" w:cs="Arial"/>
      <w:sz w:val="27"/>
      <w:szCs w:val="27"/>
      <w:lang w:val="en-US"/>
    </w:rPr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rsid w:val="00b96bc2"/>
    <w:pPr>
      <w:widowControl w:val="false"/>
      <w:spacing w:lineRule="auto" w:line="240" w:before="136" w:after="0"/>
      <w:ind w:left="108" w:firstLine="270"/>
    </w:pPr>
    <w:rPr>
      <w:rFonts w:ascii="Arial" w:hAnsi="Arial" w:eastAsia="Arial" w:cs="Arial"/>
      <w:lang w:val="en-US"/>
    </w:rPr>
  </w:style>
  <w:style w:type="paragraph" w:styleId="Rodap">
    <w:name w:val="Rodapé"/>
    <w:basedOn w:val="Normal"/>
    <w:pPr/>
    <w:rPr/>
  </w:style>
  <w:style w:type="paragraph" w:styleId="Contedodoquadro">
    <w:name w:val="Conteúdo do quadro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Application>LibreOffice/4.3.0.4$Windows_x86 LibreOffice_project/62ad5818884a2fc2e5780dd45466868d41009ec0</Application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2016-03-16T21:45:00Z</dcterms:created>
  <dc:creator>Jessica Medeiros</dc:creator>
  <dc:language>pt-BR</dc:language>
  <dcterms:modified xsi:type="dcterms:W3CDTF">2016-03-18T14:13:31Z</dcterms:modified>
  <cp:revision>3</cp:revision>
</cp:coreProperties>
</file>